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1"/>
      <w:bookmarkEnd w:id="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2"/>
      <w:bookmarkEnd w:id="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ДЕПАРТАМЕНТ ГОСУДАРСТВЕННОЙ ПОЛИТИКИ В СФЕРЕ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ПОДГОТОВКИ РАБОЧИХ КАДРОВ И ДПО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Start w:id="3" w:name="_GoBack"/>
      <w:bookmarkEnd w:id="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ПИСЬМО</w:t>
      </w:r>
      <w:r w:rsidR="007F197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от 18 марта 2014 г. N 06-281</w:t>
      </w:r>
      <w:bookmarkStart w:id="4" w:name="100004"/>
      <w:bookmarkEnd w:id="4"/>
      <w:r w:rsidR="007F197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 НАПРАВЛЕНИИ ТРЕБОВАНИЙ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5"/>
      <w:bookmarkEnd w:id="5"/>
      <w:bookmarkEnd w:id="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Департамент государственной политики в сфере подготовки рабочих кадров направляет для использования в работе </w:t>
      </w:r>
      <w:hyperlink r:id="rId4" w:anchor="100009" w:history="1">
        <w:r w:rsidRPr="00906117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Требования</w:t>
        </w:r>
      </w:hyperlink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6"/>
      <w:bookmarkEnd w:id="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Директор Департамента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Н.М.ЗОЛОТАРЕВА</w:t>
      </w:r>
    </w:p>
    <w:p w:rsidR="00906117" w:rsidRPr="00906117" w:rsidRDefault="00906117" w:rsidP="00464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117" w:rsidRPr="00906117" w:rsidRDefault="00906117" w:rsidP="00464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117" w:rsidRPr="00906117" w:rsidRDefault="00906117" w:rsidP="00464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7"/>
      <w:bookmarkEnd w:id="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8"/>
      <w:bookmarkEnd w:id="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Утверждаю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Директор Департамента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государственной политики в сфере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подготовки рабочих кадров и ДПО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Н.М.ЗОЛОТАРЕВА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26 декабря 2013 г. N 06-2412вн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09"/>
      <w:bookmarkEnd w:id="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ТРЕБОВАНИЯ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К ОРГАНИЗАЦИИ ОБРАЗОВАТЕЛЬНОГО ПРОЦЕССА ДЛЯ ОБУЧЕНИЯ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ИНВАЛИДОВ И ЛИЦ С ОГРАНИЧЕННЫМИ ВОЗМОЖНОСТЯМИ ЗДОРОВЬЯ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ПРОФЕССИОНАЛЬНЫХ ОБРАЗОВАТЕЛЬНЫХ ОРГАНИЗАЦИЯХ,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ТОМ ЧИСЛЕ ОСНАЩЕННОСТИ ОБРАЗОВАТЕЛЬНОГО ПРОЦЕССА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0"/>
      <w:bookmarkEnd w:id="1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1. Организационно-нормативные требования к профессиональным образовательным организациям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1"/>
      <w:bookmarkEnd w:id="1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1.1. Создание в профессиональной образовательной организации структурного подразделения, ответственного за организацию получения образования инвалидами и лицами с ограниченными возможностями здоровья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2"/>
      <w:bookmarkEnd w:id="1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профессиональной образовательной организации рекомендуется создание отдельного структурного подразделения,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3"/>
      <w:bookmarkEnd w:id="1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Структурное подразделение осуществляет свою деятельность в соответствии с уставом профессиональной образовательной организации.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4"/>
      <w:bookmarkEnd w:id="1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задачи такого структурного подразделения входит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профориентационная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работа с обучающимися в общеобразовательных организациях, абитуриентами, сопровождение инклюзивного обучения обучающихся с ограниченными возможностями здоровья и инвалидов, их социокультурная реабилитация, решение вопросов развития и обслуживания информационно-технологической базы инклюзивного обучения, реализация программ дистанционного обучения инвалидов, содействия трудоустройству выпускников-инвалидов, развитие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безбарьерной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среды в образовательной организации.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5"/>
      <w:bookmarkEnd w:id="1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случае если в профессиональной образовательной организации невозможно создание отдельного структурного подразделения, его функции должны быть переданы существующим структурным подразделениям образовательной организации, что отражается в их положениях.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6"/>
      <w:bookmarkEnd w:id="1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1.2. Регулирование локальными нормативными актами профессиональной образовательной организации деятельности по организации получения образования обучающимися с ограниченными возможностями здоровья и инвалидами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7"/>
      <w:bookmarkEnd w:id="1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Локальные нормативные акты профессиональной образовательной организации должны содержать нормы по организации получения образования обучающимися с ограниченными возможностями здоровья и инвалидами.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8"/>
      <w:bookmarkEnd w:id="1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частности, соответствующие нормы необходимо предусмотреть в положении о структурном подразделении профессиональной образовательной организации, ответственном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за инклюзивное образование. Также необходимо внести соответствующие изменения в следующие локальные нормативные акты: устав профессиональной образовательной организации, положение об организации и проведении текущего контроля знаний и промежуточной аттестации обучающихся, режим занятий обучающихся, порядок обучения по индивидуальному учебному плану и иные локальные нормативные акты.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19"/>
      <w:bookmarkEnd w:id="1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1.3. Ведение специализированного учета обучающихся с ограниченными возможностями здоровья и инвалидов на этапах их поступления в профессиональную образовательную организацию, обучения, трудоустройства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0"/>
      <w:bookmarkEnd w:id="2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 целью обеспечения специальных условий получения образования обучающимися с ограниченными возможностями здоровья и инвалидами профессиональными образовательными организациями и органам исполнительной власти субъектов Российской Федерации, осуществляющим государственное управление в сфере образования, необходимо организовать сбор сведений о данных лицах и обеспечить их систематический учет.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1"/>
      <w:bookmarkEnd w:id="2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Основными источниками сведений являются: приемная комиссия, учебная часть, информация, полученная социальным педагогом, а также специализированный учет, осуществляемый профессиональной образовательной организацией.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2"/>
      <w:bookmarkEnd w:id="2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Основой учета должны стать общие сведения об обучающемся с ограниченными возможностями здоровья и инвалиде: фамилия, имя, отчество, имеющееся образование, данные о его семье, сведения о группе инвалидности, виде нарушения (нарушений) здоровья, рекомендации, данные по результатам комплексного психолого-медико-педагогического обследования детей или по результатам медико-социальной экспертизы, и иные сведения.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3"/>
      <w:bookmarkEnd w:id="2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При сборе указанных сведений должно быть получено согласие обучающегося с ограниченными возможностями здоровья или инвалида на обработку его персональных данных.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4"/>
      <w:bookmarkEnd w:id="2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2. Требования к кадровому обеспечению профессиональной образовательной организации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5"/>
      <w:bookmarkEnd w:id="2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2.1. Введение в штат профессиональных образовательных организаций должности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тьютора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, педагога-психолога, социального педагога (социального работника), специалиста по специальным техническим и программным средствам обучения обучающихся с ограниченными возможностями здоровья и инвалидов и других необходимых специалистов с целью комплексного сопровождения их обучения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6"/>
      <w:bookmarkEnd w:id="2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Деятельность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тьюторов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заключается в индивидуальной работе с обучающимися с ограниченными возможностями здоровья и инвалидами в образовательном процессе и процессе социализации.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Тьютор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проводит дополнительные индивидуальные консультации и занятия с обучающимися,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 в профессиональных образовательных организациях.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7"/>
      <w:bookmarkEnd w:id="2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Работа педагога-психолога (психолога, специального психолога)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обучающихся, поддержке и укреплении их психического здоровья.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8"/>
      <w:bookmarkEnd w:id="2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Социальный педагог (социальный работник)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29"/>
      <w:bookmarkEnd w:id="2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Использование в образовательном процессе современных технических и программных средств обучения требует наличия в штате образовательной организации соответствующих специалистов, помогающих педагогическим работникам и обучающимся использовать эти средства, содействующих в обеспечении обучающихся с ограниченными возможностями здоровья и инвалидов дополнительными способами передачи, освоения и воспроизводства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учебной информации, занимающихся разработкой и внедрением специальных методик, электронного обучения и дистанционных образовательных технологий.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0"/>
      <w:bookmarkEnd w:id="3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2.2. Дополнительная подготовка педагогических работников с целью получения знаний о психофизиологических особенностях инвалидов и лиц с ограниченными возможностями здоровья,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1"/>
      <w:bookmarkEnd w:id="3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Педагогические работники должны быть ознакомлены с психолого-физиологическими особенностями обучающихся с ограниченными возможностями здоровья и инвалидов и учитывать их при организации образовательного процесса. С этой целью в программы повышения квалификации и программы профессиональной переподготовки педагогических кадров необходимо включение модуля по осуществлению инклюзивного образования.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2"/>
      <w:bookmarkEnd w:id="3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2.3. Введение при необходимости в штат профессиональных образовательных организаций должностей сурдопедагога,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сурдопереводчика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для обеспечения образовательного процесса обучающихся с нарушением слуха; тифлопедагога для обеспечения образовательного процесса обучающихся с нарушением зрения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3"/>
      <w:bookmarkEnd w:id="3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Задачи сурдопедагога в профессиональной образовательной организации - обучение и развитие обучающихся с нарушениями органа слуха и осуществление деятельности по сопровождению процесса их обучения в профессиональной образовательной организации.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4"/>
      <w:bookmarkEnd w:id="3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Главная задача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сурдопереводчика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способствовать полноценному участию глухих и слабослышащих обучающихся в учебной и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внеучебной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деятельности профессиональной образовательной организации.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Сурдопереводчик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гарантирует обучающимся равный доступ к информации во время занятий.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5"/>
      <w:bookmarkEnd w:id="3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Тифлопедагог способствует развитию компенсаторных возможностей зрительного восприятия обучающихся с нарушениями зрения в единстве с развитием несенсорных психических функций (внимания, памяти, мышления, эмоций); стимуляция зрительной, познавательной, творческой активности; оказывает помощь в овладении специальными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тифлотехническими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средствами.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6"/>
      <w:bookmarkEnd w:id="3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3. Требования к работе с абитуриентами из числа лиц с ограниченными возможностями здоровья и инвалидов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7"/>
      <w:bookmarkEnd w:id="3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3.1. Организация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профориентационной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работы с абитуриентами из числа инвалидов и лиц с ограниченными возможностями здоровья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8"/>
      <w:bookmarkEnd w:id="3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Профессиональная ориентация абитуриентов-инвалидов и абитуриентов с ограниченными возможностями здоровья в профессиональных образовательных организациях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дезадаптации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, осуществления мероприятий по их реабилитации, коррекции, компенсации.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39"/>
      <w:bookmarkEnd w:id="3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Особое значение при профессиональной ориентации имеет подбор одной или нескольких </w:t>
      </w:r>
      <w:proofErr w:type="gram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профессий</w:t>
      </w:r>
      <w:proofErr w:type="gram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или специальностей, доступных обучающемуся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0"/>
      <w:bookmarkEnd w:id="4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Основными формами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профориентационной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работы в профессиональной образовательной организации являются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профориентационное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материалы для данных обучающихся, взаимодействие с образовательными организациями, осуществляющими функции коррекции.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1"/>
      <w:bookmarkEnd w:id="4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3.2. Обеспечение информационной открытости профессиональной образовательной организации для инвалидов и лиц с ограниченными возможностями здоровья и их родителей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2"/>
      <w:bookmarkEnd w:id="4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На сайте профессиональной образовательной организации в сети Интернет должен быть создан специальный раздел (страница),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 программных средств обучения, дистанционных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образовательных технологий, наличие 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3"/>
      <w:bookmarkEnd w:id="4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4. Требования к доступности зданий и сооружений профессиональных образовательных организаций и безопасного в них нахождения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4"/>
      <w:bookmarkEnd w:id="4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Создание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безбарьерной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среды в профессиональной образовательной организации должно учитывать потребности лиц с нарушениями зрения, с нарушениями слуха, с нарушениями опорно-двигательного аппарата.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5"/>
      <w:bookmarkEnd w:id="4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4.1. Обеспечение </w:t>
      </w:r>
      <w:proofErr w:type="gram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доступности</w:t>
      </w:r>
      <w:proofErr w:type="gram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прилегающей к профессиональной образовательной организации территории, входных путей, путей перемещения внутри здания для различных нарушений функций организма человека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6"/>
      <w:bookmarkEnd w:id="4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Вся территория профессиональной образовательной организации должна соответствовать условиям беспрепятственного, безопасного и удобного передвижения инвалидов и лиц с ограниченными возможностями здоровья. Требуется обеспечить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контрастную окраску дверей и лестниц, выделение мест для парковки автотранспортных средств инвалидов.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7"/>
      <w:bookmarkEnd w:id="4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здании должен быть как минимум один вход, доступный для лиц с нарушением опорно-двигательного аппарата. Помещения, где могут находиться лица, передвигающиеся на креслах-колясках, следует размещать на уровне доступного входа. При ином размещении помещений по высоте здания, кроме лестниц, следует предусматривать пандусы, подъемные платформы или лифты.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48"/>
      <w:bookmarkEnd w:id="4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Комплексная информационная система для ориентации и навигации инвалидов в пространстве образовательной организации должна включать визуальную, звуковую и тактильную информацию.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49"/>
      <w:bookmarkEnd w:id="4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4.2. Наличие специальных мест в аудиториях профессиональной образовательной организации для обучающихся с ограниченными возможностями здоровья и инвалидов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0"/>
      <w:bookmarkEnd w:id="5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каждом учебном помещении (в лекционных аудиториях, кабинетах для практических занятий, учебных мастерских, библиотеке и иных помещениях) необходимо предусматривать возможность оборудования по 1 - 2 месту для обучающихся по каждому виду нарушений здоровья - опорно-двигательного аппарата, слуха и зрения.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1"/>
      <w:bookmarkEnd w:id="5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2"/>
      <w:bookmarkEnd w:id="5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общем случае в стандартной аудитории необходимо первые столы в ряду у окна и в среднем ряду предусмотреть для обучающихся с нарушениями зрения и слуха, а для обучающихся, передвигающихся в кресле-коляске, выделить 1 - 2 первых стола в ряду у дверного проема.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3"/>
      <w:bookmarkEnd w:id="5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4.3. Наличие оборудованных санитарно-гигиенических помещений для обучающихся с ограниченными возможностями здоровья и инвалидов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4"/>
      <w:bookmarkEnd w:id="5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На каждом этаже помещения образовательной организации необходимо обустройство минимум одной туалетной кабины, доступной для маломобильных обучающихся. В универсальной кабине и других санитарно-бытовых помещениях, предназначенных для пользования всеми категориями обучающихся с ограниченными возможностями здоровья, следует предусматривать возможность установки откидных опорных поручней, штанг, поворотных или откидных сидений.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5"/>
      <w:bookmarkEnd w:id="5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4.4. Наличие системы сигнализации и оповещения для обучающихся с ограниченными возможностями здоровья и инвалидов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6"/>
      <w:bookmarkEnd w:id="5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Проектные решения зданий образовательных организаций должны обеспечивать безопасность обучающихся с ограниченными возможностями здоровья и инвалидов в соответствии с требованиями СНиП 21-01 и ГОСТ 12.1.004, с учетом мобильности инвалидов различных категорий, их численности и места нахождения в здании.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7"/>
      <w:bookmarkEnd w:id="5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Особое внимание необходимо уделить обеспечению визуальной, звуковой и тактильной информацией для сигнализации об опасности и других важных мероприятиях.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58"/>
      <w:bookmarkEnd w:id="5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Пути движения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59"/>
      <w:bookmarkEnd w:id="5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5. Требования к материально-техническому обеспечению образовательного процесса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0"/>
      <w:bookmarkEnd w:id="6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5.1. Наличие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1"/>
      <w:bookmarkEnd w:id="6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Для слабослышащих обучающихся использование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сурдотехнических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средств является средством оптимизации учебного процесса, средством </w:t>
      </w:r>
      <w:proofErr w:type="gram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компенсации</w:t>
      </w:r>
      <w:proofErr w:type="gram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утраченной или нарушенной слуховой функции.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2"/>
      <w:bookmarkEnd w:id="6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Технологии беспроводной передачи звука (FM-системы) являются эффективным средством для улучшения разборчивости речи в процессе обучения.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3"/>
      <w:bookmarkEnd w:id="6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Учебная аудитория, в которой обучаются студенты с нарушением слуха, должна быть оборудована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радиоклассом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4"/>
      <w:bookmarkEnd w:id="6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5.2. Наличие компьютерной техники, использующей систему Брайля (рельефно-точечного шрифта), электронных луп,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видеоувеличителей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программ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невизуального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доступа к информации, программ - синтезаторов речи и других технических средств приема-передачи учебной информации в доступных формах для обучающихся с нарушениями зрения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5"/>
      <w:bookmarkEnd w:id="6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Компьютерные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тифлотехнологии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базируются на комплексе аппаратных и программных средств, обеспечивающих преобразование компьютерной информации в доступные </w:t>
      </w:r>
      <w:proofErr w:type="gram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для незрячих и слабовидящих формы</w:t>
      </w:r>
      <w:proofErr w:type="gram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(звуковое воспроизведение, рельефно-точечный или укрупненный текст), и позволяют им самостоятельно работать на обычном персональном компьютере с программами общего назначения.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66"/>
      <w:bookmarkEnd w:id="66"/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Тифлотехнические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средства, используемые в учебном процессе для обучающихся с нарушениями зрения, условно делятся на две группы: средства для усиления остаточного зрения и средства преобразования визуальной информации в аудио- и тактильные сигналы.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67"/>
      <w:bookmarkEnd w:id="6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видеоувеличителей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для удаленного просмотра.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68"/>
      <w:bookmarkEnd w:id="6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5.3. Наличие компьютерной техники со специальным программным обеспечением, адаптированной для лиц с ограниченными возможностями здоровья, альтернативных устройств ввода информации и других технических средств приема-передачи учебной информации в доступных формах для обучающихся с нарушениями опорно-двигательного аппарата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69"/>
      <w:bookmarkEnd w:id="6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Для обучающихся с нарушениями опорно-двигательного аппарата необходимо использование альтернативных устройств ввода информации.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0"/>
      <w:bookmarkEnd w:id="7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Рекомендуется использовать специальные возможности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1"/>
      <w:bookmarkEnd w:id="7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6. Требования к адаптации образовательных программ и учебно-методическому обеспечению образовательного процесса для обучающихся с ограниченными возможностями здоровья и инвалидов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2"/>
      <w:bookmarkEnd w:id="7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6.1. Включение в вариативную часть образовательных программ среднего профессионального образования адаптационных дисциплин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3"/>
      <w:bookmarkEnd w:id="7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Введение адаптационных дисциплин в программы подготовки квалифицированных рабочих, служащих, программы подготовки специалистов среднего звена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ограниченными возможностями здоровья и инвалидов.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4"/>
      <w:bookmarkEnd w:id="7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Профессиональная образовательная организация должна обеспечить обучающимся лицам с ограниченными возможностями здоровья и инвалидам возможность освоения специализированных адаптационных дисциплин, включаемых в вариативную часть указанных программ. Это могут быть дисциплины социально-гуманитарного назначения,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профессиональной направленности,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 Набор адаптационных дисциплин определяется профессиональной образовательной организацией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5"/>
      <w:bookmarkEnd w:id="7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6.2. Выбор методов обучения, осуществляемый профессиональной образовательной организацией, исходя из их доступности для обучающихся инвалидов и обучающихся с ограниченными возможностями здоровья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76"/>
      <w:bookmarkEnd w:id="7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Выбор методов обучения в каждом отдельном случае обусловливается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обучающимися, наличием времени на подготовку и т.д. В образовательном процессе рекомендуется использование социально 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77"/>
      <w:bookmarkEnd w:id="7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6.3. 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78"/>
      <w:bookmarkEnd w:id="7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Обучающиеся с ограниченными возможностями здоровья, в отличие от остальных студентов, имеют свои специфические особенности восприятия, переработки материала. Подбор и разработка учебных материалов должны производиться с учетом того, чтобы предоставлять этот материал в различных формах, в частности, чтобы обучающиеся с нарушениями слуха получали информацию визуально, с нарушениями зрения - аудиально (например, с использованием программ - синтезаторов речи) или с помощью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тифлоинформационных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устройств.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79"/>
      <w:bookmarkEnd w:id="7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6.4. Выбор мест прохождения практики для обучающихся лиц с ограниченными возможностями здоровья и инвалидов с учетом требований их доступности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0"/>
      <w:bookmarkEnd w:id="8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При определении мест прохождения учебной и производственной практики обучающимся,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1"/>
      <w:bookmarkEnd w:id="8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6.5. 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82"/>
      <w:bookmarkEnd w:id="8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сформированности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всех компетенций, предусмотренных образовательной программой.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3" w:name="100083"/>
      <w:bookmarkEnd w:id="8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 при прохождении аттестации.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84"/>
      <w:bookmarkEnd w:id="8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6.6. Разработка при необходимости индивидуальных учебных планов и </w:t>
      </w:r>
      <w:proofErr w:type="gram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индивидуальных графиков</w:t>
      </w:r>
      <w:proofErr w:type="gram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обучающихся с ограниченными возможностями здоровья и инвалидов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085"/>
      <w:bookmarkEnd w:id="8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образовательных потребностей. При необходимости возможно увеличение срока обучения лиц с ограниченными возможностями здоровья и инвалидов, но не более чем на полгода.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86"/>
      <w:bookmarkEnd w:id="8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При составлении индивидуального плана обучения необходимо предусмотреть различные варианты проведения занятий: в профессиональной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087"/>
      <w:bookmarkEnd w:id="8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6.7. Подготовка к трудоустройству и содействие трудоустройству выпускников из числа обучающихся с ограниченными возможностями здоровья и инвалидов и их закреплению на рабочих местах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8" w:name="100088"/>
      <w:bookmarkEnd w:id="8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100089"/>
      <w:bookmarkEnd w:id="8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" w:name="100090"/>
      <w:bookmarkEnd w:id="9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программах подготовки в рамках адаптационных дисциплин необходимо предусматривать подготовку выпускников из числа обучающихся с ограниченными возможностями здоровья и инвалидов к трудоустройству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1" w:name="100091"/>
      <w:bookmarkEnd w:id="9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7. Требования к организации образовательного процесса с использованием дистанционных образовательных технологий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092"/>
      <w:bookmarkEnd w:id="9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7.1. Использование средств организации электронного обучения, позволяющих осуществлять прием-передачу информации в доступных формах в зависимости от нарушений функций организма человека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100093"/>
      <w:bookmarkEnd w:id="9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обучаемых, т.е. обладали универсальным дизайном.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4" w:name="100094"/>
      <w:bookmarkEnd w:id="9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Образовательная информация, представленная на сайте дистанционного обучения, должна соответствовать стандарту обеспечения доступности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web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-контента (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Web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Content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Accessibility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). Веб-контент должен быть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100095"/>
      <w:bookmarkEnd w:id="9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7.2. Обеспечение обучающихся с ограниченными возможностями здоровья и инвалидов учебно-методическими ресурсами в формах, адаптированных к ограничениям их здоровья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6" w:name="100096"/>
      <w:bookmarkEnd w:id="9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Подбор и разработка учебных материалов должны производиться с учетом возможности предоставления материала в различных формах, обеспечивающих обучающимся с нарушениями слуха получение информации визуально, с нарушениями зрения - аудиально.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7" w:name="100097"/>
      <w:bookmarkEnd w:id="9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медиаконтентов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, создавать контент,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" w:name="100098"/>
      <w:bookmarkEnd w:id="9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7.3. Обеспечение сочетания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on-line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off-line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100099"/>
      <w:bookmarkEnd w:id="9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Основной формой, применяемой при реализации дистанционных образовательных технологий, является индивидуальная форма обучения. Главным достоинством данной формы обучения для обучающихся с ограниченными возможностями здоровья и инвалидов является возможность полностью индивидуализировать содержание, методы и темпы учебной деятельности такого обучающегося, следить за каждым его действием и операцией при решении конкретных задач; вносить вовремя необходимые коррекции как в деятельность обучающегося, так и в деятельность преподавателя. Дистанционные образовательные технологии также должны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0" w:name="100100"/>
      <w:bookmarkEnd w:id="10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Эффективной формой проведения онлайн-занятий являются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вебинары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, которые могут быть использованы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 технологий,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1" w:name="100101"/>
      <w:bookmarkEnd w:id="10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8. Требования к комплексному сопровождению образовательного процесса и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здоровьесбережению</w:t>
      </w:r>
      <w:proofErr w:type="spellEnd"/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2" w:name="100102"/>
      <w:bookmarkEnd w:id="10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8.1.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медико-социальной экспертизы или психолого-медико-педагогической комиссии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3" w:name="100103"/>
      <w:bookmarkEnd w:id="10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4" w:name="100104"/>
      <w:bookmarkEnd w:id="10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5" w:name="100105"/>
      <w:bookmarkEnd w:id="10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психопрофилактики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коррекции личностных искажений.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6" w:name="100106"/>
      <w:bookmarkEnd w:id="10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Медицинско-оздоровительное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7" w:name="100107"/>
      <w:bookmarkEnd w:id="10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Социальное сопровождение -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8" w:name="100108"/>
      <w:bookmarkEnd w:id="10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8.2. Установление профессиональной образовательной организацией особого порядка освоения дисциплины "физическая культура"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9" w:name="100109"/>
      <w:bookmarkEnd w:id="10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Для обучающихся с ограниченными возможностями здоровья и инвалидов профессиональная образовательная организация устанавливает особый порядок освоения указанной дисциплины на основании соблюдения принципов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здоровьесбережения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адаптивной физической культуры. Это могут быть подвижные занятия адаптивной физической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При их проведении специалист обязан учитывать вид и тяжесть нарушений </w:t>
      </w:r>
      <w:proofErr w:type="gram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организма</w:t>
      </w:r>
      <w:proofErr w:type="gram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 Рекомендуется в учебный план включать определенное количество часов, посвященных поддержанию здоровья и здоровому образу жизни.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100110"/>
      <w:bookmarkEnd w:id="11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8.3. Оснащение профессиональных образовательных организаций спортивным оборудованием, адаптированным для инвалидов и лиц с ограниченными возможностями здоровья с различными нарушениями функций организма человека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" w:name="100111"/>
      <w:bookmarkEnd w:id="11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Для полноценного занятия лицами с ограниченными возможностями здоровья и инвалидов физической культурой необходима модернизация физкультурно-спортивной базы профессиональных образовательных организаций: оборудование площадок (в помещениях и на открытом воздухе) специализированными тренажерами, установка тренажеров общеукрепляющей направленности и фитнес-тренажеров в существующих спортивных залах. Все спортивное оборудование должно отвечать требованиям доступности, надежности, прочности, удобства. Необходимо также создание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безбарьерной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среды в имеющихся в профессиональных образовательных организациях объектах спорта.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2" w:name="100112"/>
      <w:bookmarkEnd w:id="11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8.4. Создание в профессиональной образовательной организации толерантной социокультурной среды, волонтерской помощи обучающимся с ограниченными возможностями здоровья и инвалидам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3" w:name="100113"/>
      <w:bookmarkEnd w:id="11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Профессиональная образовательная организация обязана сформировать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4" w:name="100114"/>
      <w:bookmarkEnd w:id="11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100115"/>
      <w:bookmarkEnd w:id="11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8.5. Наличие отделения поликлиники или медпункта в профессиональной образовательной организации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6" w:name="100116"/>
      <w:bookmarkEnd w:id="11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Наличие отделения поликлиники или медпункта в профессиональной образовательной организации необходимо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100117"/>
      <w:bookmarkEnd w:id="11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Требования к оснащенности образовательного процесса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инвалидов и лиц с ограниченными возможностями здоровья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в профессиональных образовательных организациях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8" w:name="100118"/>
      <w:bookmarkEnd w:id="11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Примерный перечень специальных технических средств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и программного обеспечения для обучения студентов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 нарушениями зрения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9" w:name="100119"/>
      <w:bookmarkEnd w:id="11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1. Дисплей с использованием системы Брайля (рельефно-точечный шрифт) 40-знаковый или 80-знаковый, или портативный дисплей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0" w:name="100120"/>
      <w:bookmarkEnd w:id="12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2. Принтер с использованием системы Брайля (рельефно-точечный шрифт)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1" w:name="100121"/>
      <w:bookmarkEnd w:id="12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3. Программа экранного доступа с синтезом речи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" w:name="100122"/>
      <w:bookmarkEnd w:id="12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4. Программа экранного увеличения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3" w:name="100123"/>
      <w:bookmarkEnd w:id="12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Редактор текста (программа для перевода обычного шрифта в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брайлевский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обратно)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val="en-US" w:eastAsia="ru-RU"/>
        </w:rPr>
      </w:pPr>
      <w:bookmarkStart w:id="124" w:name="100124"/>
      <w:bookmarkEnd w:id="124"/>
      <w:r w:rsidRPr="00906117">
        <w:rPr>
          <w:rFonts w:ascii="Open Sans" w:eastAsia="Times New Roman" w:hAnsi="Open Sans" w:cs="Times New Roman"/>
          <w:sz w:val="23"/>
          <w:szCs w:val="23"/>
          <w:lang w:val="en-US" w:eastAsia="ru-RU"/>
        </w:rPr>
        <w:t xml:space="preserve">6.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Программы</w:t>
      </w:r>
      <w:r w:rsidRPr="00906117">
        <w:rPr>
          <w:rFonts w:ascii="Open Sans" w:eastAsia="Times New Roman" w:hAnsi="Open Sans" w:cs="Times New Roman"/>
          <w:sz w:val="23"/>
          <w:szCs w:val="23"/>
          <w:lang w:val="en-US" w:eastAsia="ru-RU"/>
        </w:rPr>
        <w:t xml:space="preserve">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синтеза</w:t>
      </w:r>
      <w:r w:rsidRPr="00906117">
        <w:rPr>
          <w:rFonts w:ascii="Open Sans" w:eastAsia="Times New Roman" w:hAnsi="Open Sans" w:cs="Times New Roman"/>
          <w:sz w:val="23"/>
          <w:szCs w:val="23"/>
          <w:lang w:val="en-US" w:eastAsia="ru-RU"/>
        </w:rPr>
        <w:t xml:space="preserve"> </w:t>
      </w: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речи</w:t>
      </w:r>
      <w:r w:rsidRPr="00906117">
        <w:rPr>
          <w:rFonts w:ascii="Open Sans" w:eastAsia="Times New Roman" w:hAnsi="Open Sans" w:cs="Times New Roman"/>
          <w:sz w:val="23"/>
          <w:szCs w:val="23"/>
          <w:lang w:val="en-US" w:eastAsia="ru-RU"/>
        </w:rPr>
        <w:t xml:space="preserve"> TTS (Text-To-Speech)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5" w:name="100125"/>
      <w:bookmarkEnd w:id="12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7. Читающая машина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6" w:name="100126"/>
      <w:bookmarkEnd w:id="12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8. Стационарный электронный увеличитель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7" w:name="100127"/>
      <w:bookmarkEnd w:id="12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9. Ручное увеличивающее устройство (портативная электронная лупа)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8" w:name="100128"/>
      <w:bookmarkEnd w:id="12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10. Электронный увеличитель для удаленного просмотра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9" w:name="100129"/>
      <w:bookmarkEnd w:id="12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Рекомендуемый комплект оснащения для стационарного рабочего места для незрячего или слабовидящего пользователя: персональный компьютер с большим монитором (19 - 24"), с программой экранного доступа JAWS, программой экранного увеличения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MAGic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) и дисплеем, использующим систему Брайля (рельефно-точечного шрифт).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0" w:name="100130"/>
      <w:bookmarkEnd w:id="13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Рекомендуемый комплект оснащения для мобильного рабочего места для незрячего или слабовидящего пользователя: ноутбук (или нетбук) с программой экранного доступа JAWS, программой экранного увеличения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MAGic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портативным дисплеем, использующим системы Брайля (рельефно-точечный шрифт).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1" w:name="100131"/>
      <w:bookmarkEnd w:id="13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Примерный перечень специальных технических средств и программного обеспечения для обучения студентов с нарушениями слуха.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2" w:name="100132"/>
      <w:bookmarkEnd w:id="13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Мобильный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радиокласс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или мобильный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радиокласс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 основе FM-системы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3" w:name="100133"/>
      <w:bookmarkEnd w:id="13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2. Акустическая система (Система свободного звукового поля)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4" w:name="100134"/>
      <w:bookmarkEnd w:id="13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3. Информационная индукционная система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5" w:name="100135"/>
      <w:bookmarkEnd w:id="13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Рекомендуемый комплект оснащения учебной аудитории, в которой обучаются студенты с нарушением слуха: </w:t>
      </w:r>
      <w:proofErr w:type="spellStart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радиокласс</w:t>
      </w:r>
      <w:proofErr w:type="spellEnd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, аудиотехника (акустический усилитель и колонки), видеотехника (мультимедийный проектор, телевизор), электронная доска, документ-камера.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100136"/>
      <w:bookmarkEnd w:id="13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Примерный перечень специальных технических средств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и программного обеспечения для обучения студентов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с нарушениями опорно-двигательного аппарата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7" w:name="100137"/>
      <w:bookmarkEnd w:id="137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1. Специальная клавиатура: клавиатура с большими кнопками и разделяющей клавиши накладкой и/или специализированная клавиатура с минимальным усилием для позиционирования и ввода и/или сенсорная клавиатура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8" w:name="100138"/>
      <w:bookmarkEnd w:id="138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2. Виртуальная экранная клавиатура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9" w:name="100139"/>
      <w:bookmarkEnd w:id="139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3. Головная компьютерная мышь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0" w:name="100140"/>
      <w:bookmarkEnd w:id="140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4. Ножная компьютерная мышь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" w:name="100141"/>
      <w:bookmarkEnd w:id="141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5. Выносные компьютерные кнопки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2" w:name="100142"/>
      <w:bookmarkEnd w:id="142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6. Компьютерный джойстик или компьютерный роллер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3" w:name="100143"/>
      <w:bookmarkEnd w:id="143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Рекомендуемый комплект оснащения для рабочего места для пользователя с нарушениями опорно-двигательного аппарата: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4" w:name="100144"/>
      <w:bookmarkEnd w:id="144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1. Персональный компьютер, оснащенный выносными компьютерными кнопками и специальной клавиатурой.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5" w:name="100145"/>
      <w:bookmarkEnd w:id="145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2. Персональный компьютер, оснащенный ножной или головной мышью и виртуальной экранной клавиатурой.</w:t>
      </w:r>
    </w:p>
    <w:p w:rsidR="00906117" w:rsidRPr="00906117" w:rsidRDefault="00906117" w:rsidP="00464620">
      <w:pPr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6" w:name="100146"/>
      <w:bookmarkEnd w:id="146"/>
      <w:r w:rsidRPr="00906117">
        <w:rPr>
          <w:rFonts w:ascii="Open Sans" w:eastAsia="Times New Roman" w:hAnsi="Open Sans" w:cs="Times New Roman"/>
          <w:sz w:val="23"/>
          <w:szCs w:val="23"/>
          <w:lang w:eastAsia="ru-RU"/>
        </w:rPr>
        <w:t>3. Персональный компьютер, оснащенный компьютерным джойстиком или компьютерным роллером и специальной клавиатурой.</w:t>
      </w:r>
    </w:p>
    <w:p w:rsidR="00EA50F8" w:rsidRDefault="007F1973" w:rsidP="00464620">
      <w:pPr>
        <w:spacing w:after="0" w:line="240" w:lineRule="auto"/>
        <w:ind w:firstLine="709"/>
        <w:contextualSpacing/>
      </w:pPr>
    </w:p>
    <w:sectPr w:rsidR="00EA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7"/>
    <w:rsid w:val="001721AE"/>
    <w:rsid w:val="003F3E52"/>
    <w:rsid w:val="00464620"/>
    <w:rsid w:val="007F1973"/>
    <w:rsid w:val="009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63D"/>
  <w15:chartTrackingRefBased/>
  <w15:docId w15:val="{F2C4DAE2-AD74-4B20-B508-9CCCDA15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38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ismo-minobrnauki-rossii-ot-18032014-n-06-2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2018-09-25T16:28:00Z</dcterms:created>
  <dcterms:modified xsi:type="dcterms:W3CDTF">2018-10-01T15:14:00Z</dcterms:modified>
</cp:coreProperties>
</file>